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D7430" w14:textId="77777777" w:rsidR="00F70DDC" w:rsidRDefault="00F70DDC" w:rsidP="00F70DDC">
      <w:pPr>
        <w:pStyle w:val="a7"/>
        <w:spacing w:before="0" w:after="122"/>
        <w:rPr>
          <w:rFonts w:eastAsia="ＭＳ 明朝"/>
          <w:sz w:val="40"/>
          <w:szCs w:val="40"/>
        </w:rPr>
      </w:pPr>
      <w:bookmarkStart w:id="0" w:name="_GoBack"/>
      <w:bookmarkEnd w:id="0"/>
      <w:r>
        <w:rPr>
          <w:rFonts w:eastAsia="ＭＳ 明朝"/>
          <w:sz w:val="40"/>
          <w:szCs w:val="40"/>
        </w:rPr>
        <w:t>営業秘密管理規程</w:t>
      </w:r>
    </w:p>
    <w:p w14:paraId="154F210B" w14:textId="77777777" w:rsidR="00F70DDC" w:rsidRDefault="00F70DDC" w:rsidP="00F70DDC">
      <w:pPr>
        <w:pStyle w:val="Standard"/>
        <w:rPr>
          <w:rFonts w:eastAsia="ＭＳ 明朝" w:hint="eastAsia"/>
          <w:sz w:val="21"/>
          <w:szCs w:val="21"/>
        </w:rPr>
      </w:pPr>
    </w:p>
    <w:p w14:paraId="17B3610A" w14:textId="77777777" w:rsidR="00F70DDC" w:rsidRDefault="00F70DDC" w:rsidP="00F70DDC">
      <w:pPr>
        <w:pStyle w:val="Standard"/>
        <w:widowControl/>
        <w:numPr>
          <w:ilvl w:val="0"/>
          <w:numId w:val="17"/>
        </w:numPr>
        <w:spacing w:line="360" w:lineRule="auto"/>
        <w:textAlignment w:val="baseline"/>
        <w:rPr>
          <w:rFonts w:eastAsia="ＭＳ 明朝" w:hint="eastAsia"/>
          <w:b/>
          <w:bCs/>
          <w:sz w:val="26"/>
          <w:szCs w:val="26"/>
        </w:rPr>
      </w:pPr>
      <w:r>
        <w:rPr>
          <w:rFonts w:ascii="ＭＳ 明朝" w:eastAsia="ＭＳ 明朝" w:hAnsi="ＭＳ 明朝"/>
          <w:b/>
          <w:bCs/>
          <w:sz w:val="26"/>
          <w:szCs w:val="26"/>
        </w:rPr>
        <w:t>(目的及び対象範囲)</w:t>
      </w:r>
    </w:p>
    <w:p w14:paraId="579E7F65"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本規程は当社の営業秘密管理方針(以下、「管理方針」)を具体化し、当社秘密及び他社秘密の保持・管理に必要な事項を定め、営業秘密の適正な取扱いを図ることを目的とする。</w:t>
      </w:r>
    </w:p>
    <w:p w14:paraId="768A1975" w14:textId="77777777" w:rsidR="00F70DDC" w:rsidRDefault="00F70DDC" w:rsidP="00F70DDC">
      <w:pPr>
        <w:pStyle w:val="Standard"/>
        <w:widowControl/>
        <w:numPr>
          <w:ilvl w:val="1"/>
          <w:numId w:val="18"/>
        </w:numPr>
        <w:spacing w:line="360" w:lineRule="auto"/>
        <w:textAlignment w:val="baseline"/>
        <w:rPr>
          <w:rFonts w:eastAsia="ＭＳ 明朝" w:hint="eastAsia"/>
        </w:rPr>
      </w:pPr>
      <w:r>
        <w:rPr>
          <w:rFonts w:ascii="ＭＳ 明朝" w:eastAsia="ＭＳ 明朝" w:hAnsi="ＭＳ 明朝"/>
        </w:rPr>
        <w:t xml:space="preserve">　2　本規程は、当社の役員、従業員(正社員、試用中の者、契約社員、顧問等。以下、「役職員等」)、退任・退職者(以下、「退職者等」)に適用される。</w:t>
      </w:r>
    </w:p>
    <w:p w14:paraId="2AFFA08E" w14:textId="77777777" w:rsidR="00F70DDC" w:rsidRDefault="00F70DDC" w:rsidP="00F70DDC">
      <w:pPr>
        <w:pStyle w:val="Standard"/>
        <w:widowControl/>
        <w:numPr>
          <w:ilvl w:val="0"/>
          <w:numId w:val="17"/>
        </w:numPr>
        <w:spacing w:line="360" w:lineRule="auto"/>
        <w:textAlignment w:val="baseline"/>
        <w:rPr>
          <w:rFonts w:eastAsia="ＭＳ 明朝" w:hint="eastAsia"/>
          <w:b/>
          <w:bCs/>
          <w:sz w:val="26"/>
          <w:szCs w:val="26"/>
        </w:rPr>
      </w:pPr>
      <w:r>
        <w:rPr>
          <w:rFonts w:ascii="ＭＳ 明朝" w:eastAsia="ＭＳ 明朝" w:hAnsi="ＭＳ 明朝"/>
          <w:b/>
          <w:bCs/>
          <w:sz w:val="26"/>
          <w:szCs w:val="26"/>
        </w:rPr>
        <w:t>(定義等)</w:t>
      </w:r>
    </w:p>
    <w:p w14:paraId="2BBF3596"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本規程における用語の定義は次の通りである。</w:t>
      </w:r>
    </w:p>
    <w:p w14:paraId="617798B4"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1 「営業秘密」とは、秘密として管理されている技術上または営業上の有用な情報であって、当社が指定するものをいう。</w:t>
      </w:r>
    </w:p>
    <w:p w14:paraId="442A09BB"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2 「当社秘密」とは、営業秘密のうち、当社が保有するものをいい、「他社秘密」とは、営業秘密のうち、取引先その他の保有するものをいう。</w:t>
      </w:r>
    </w:p>
    <w:p w14:paraId="1BC42AB2"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3 「秘密区分」とは、営業秘密の機密性のレベルに応じた区分をいい、当社が指定するものをいう。</w:t>
      </w:r>
    </w:p>
    <w:p w14:paraId="4FA6A762" w14:textId="77777777" w:rsidR="00F70DDC" w:rsidRDefault="00F70DDC" w:rsidP="00F70DDC">
      <w:pPr>
        <w:pStyle w:val="Standard"/>
        <w:widowControl/>
        <w:numPr>
          <w:ilvl w:val="0"/>
          <w:numId w:val="17"/>
        </w:numPr>
        <w:spacing w:line="360" w:lineRule="auto"/>
        <w:textAlignment w:val="baseline"/>
        <w:rPr>
          <w:rFonts w:eastAsia="ＭＳ 明朝" w:hint="eastAsia"/>
          <w:b/>
          <w:bCs/>
          <w:sz w:val="26"/>
          <w:szCs w:val="26"/>
        </w:rPr>
      </w:pPr>
      <w:r>
        <w:rPr>
          <w:rFonts w:ascii="ＭＳ 明朝" w:eastAsia="ＭＳ 明朝" w:hAnsi="ＭＳ 明朝"/>
          <w:b/>
          <w:bCs/>
          <w:sz w:val="26"/>
          <w:szCs w:val="26"/>
        </w:rPr>
        <w:t>(秘密保持義務)</w:t>
      </w:r>
    </w:p>
    <w:p w14:paraId="477047B2"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役職員等は、知り得た営業秘密を秘密として保持し、当社の承諾なくあらかじめ定められた範囲の者以外に開示せず、また、指定業務以外の目的に使用してはならない。</w:t>
      </w:r>
    </w:p>
    <w:p w14:paraId="397B637D"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2　退職者等は、役職員等の身分を失った後も、</w:t>
      </w:r>
      <w:r>
        <w:rPr>
          <w:rFonts w:ascii="ＭＳ 明朝" w:eastAsia="ＭＳ 明朝" w:hAnsi="ＭＳ 明朝"/>
          <w:u w:val="single"/>
        </w:rPr>
        <w:t xml:space="preserve">　　年間</w:t>
      </w:r>
      <w:r>
        <w:rPr>
          <w:rFonts w:ascii="ＭＳ 明朝" w:eastAsia="ＭＳ 明朝" w:hAnsi="ＭＳ 明朝"/>
        </w:rPr>
        <w:t>は前項の秘密保持義務を遵守しなければならない。</w:t>
      </w:r>
    </w:p>
    <w:p w14:paraId="4DA4747F" w14:textId="77777777" w:rsidR="00F70DDC" w:rsidRDefault="00F70DDC" w:rsidP="00F70DDC">
      <w:pPr>
        <w:pStyle w:val="Standard"/>
        <w:widowControl/>
        <w:numPr>
          <w:ilvl w:val="0"/>
          <w:numId w:val="17"/>
        </w:numPr>
        <w:spacing w:line="360" w:lineRule="auto"/>
        <w:textAlignment w:val="baseline"/>
        <w:rPr>
          <w:rFonts w:eastAsia="ＭＳ 明朝" w:hint="eastAsia"/>
          <w:b/>
          <w:bCs/>
          <w:sz w:val="26"/>
          <w:szCs w:val="26"/>
        </w:rPr>
      </w:pPr>
      <w:r>
        <w:rPr>
          <w:rFonts w:ascii="ＭＳ 明朝" w:eastAsia="ＭＳ 明朝" w:hAnsi="ＭＳ 明朝"/>
          <w:b/>
          <w:bCs/>
          <w:sz w:val="26"/>
          <w:szCs w:val="26"/>
        </w:rPr>
        <w:t>(組織的管理)</w:t>
      </w:r>
    </w:p>
    <w:p w14:paraId="39160DEB"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当社は、取締役会において情報管理担当役員を選任し、同人を委員長、各部署の長を委員とする情報管理委員会(以下、「委員会」)を設置して、営業秘密の管理を行う。</w:t>
      </w:r>
    </w:p>
    <w:p w14:paraId="1E20CBC9"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2　情報管理担当役員は当社の営業秘密管理の統括責任を負い、委員会を構成する各部署の長(以下、「総括責任者」)は、各部署における管理の状況を確認する総括責任を負う。</w:t>
      </w:r>
    </w:p>
    <w:p w14:paraId="6B36A892"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3　委員会は、別途定める細則に従い、管理方針及び本規程の内容を全社的に周知・徹底し、役職員等に対する定期的・継続的な研修教育を実施し、また、定期的に営業秘密管理状況の監査を行う。</w:t>
      </w:r>
    </w:p>
    <w:p w14:paraId="2AEDDEFA" w14:textId="77777777" w:rsidR="00F70DDC" w:rsidRDefault="00F70DDC" w:rsidP="00F70DDC">
      <w:pPr>
        <w:pStyle w:val="Standard"/>
        <w:widowControl/>
        <w:numPr>
          <w:ilvl w:val="0"/>
          <w:numId w:val="17"/>
        </w:numPr>
        <w:spacing w:line="360" w:lineRule="auto"/>
        <w:textAlignment w:val="baseline"/>
        <w:rPr>
          <w:rFonts w:eastAsia="ＭＳ 明朝" w:hint="eastAsia"/>
          <w:b/>
          <w:bCs/>
          <w:sz w:val="26"/>
          <w:szCs w:val="26"/>
        </w:rPr>
      </w:pPr>
      <w:r>
        <w:rPr>
          <w:rFonts w:ascii="ＭＳ 明朝" w:eastAsia="ＭＳ 明朝" w:hAnsi="ＭＳ 明朝"/>
          <w:b/>
          <w:bCs/>
          <w:sz w:val="26"/>
          <w:szCs w:val="26"/>
        </w:rPr>
        <w:t>(秘密の指定等)</w:t>
      </w:r>
    </w:p>
    <w:p w14:paraId="028FF311"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総括責任者は、委員会が別途定める営業秘密管理基準(以下、「管理基準」)に従い、営業秘密を指定し、秘密区分、使用目的、アクセス権者、開示範囲、秘密保持期間を特定する。</w:t>
      </w:r>
    </w:p>
    <w:p w14:paraId="676C8946"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lastRenderedPageBreak/>
        <w:t xml:space="preserve">　2　総括責任者は、管理基準に従い、営業秘密の媒体(文書、電磁的記録等)の性質に応じて、客観的に秘密である旨が認識できるよう適切な表示を明確に行う。</w:t>
      </w:r>
    </w:p>
    <w:p w14:paraId="49DB21D1" w14:textId="77777777" w:rsidR="00F70DDC" w:rsidRDefault="00F70DDC" w:rsidP="00F70DDC">
      <w:pPr>
        <w:pStyle w:val="Standard"/>
        <w:widowControl/>
        <w:numPr>
          <w:ilvl w:val="0"/>
          <w:numId w:val="17"/>
        </w:numPr>
        <w:spacing w:line="360" w:lineRule="auto"/>
        <w:textAlignment w:val="baseline"/>
        <w:rPr>
          <w:rFonts w:eastAsia="ＭＳ 明朝" w:hint="eastAsia"/>
          <w:b/>
          <w:bCs/>
          <w:sz w:val="26"/>
          <w:szCs w:val="26"/>
        </w:rPr>
      </w:pPr>
      <w:r>
        <w:rPr>
          <w:rFonts w:ascii="ＭＳ 明朝" w:eastAsia="ＭＳ 明朝" w:hAnsi="ＭＳ 明朝"/>
          <w:b/>
          <w:bCs/>
          <w:sz w:val="26"/>
          <w:szCs w:val="26"/>
        </w:rPr>
        <w:t>(営業秘密の取扱い方法)</w:t>
      </w:r>
    </w:p>
    <w:p w14:paraId="76AD222B"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委員会は、管理基準において、営業秘密に関し、アクセス権者の特定、保管場所の管理、持ち出し制限、パスワード管理その他の物理的・技術的安全管理の基準を定めるものとし、役職員等は、同基準に従い、営業秘密を取り扱う。</w:t>
      </w:r>
    </w:p>
    <w:p w14:paraId="6B04C441" w14:textId="77777777" w:rsidR="00F70DDC" w:rsidRDefault="00F70DDC" w:rsidP="00F70DDC">
      <w:pPr>
        <w:pStyle w:val="Standard"/>
        <w:widowControl/>
        <w:numPr>
          <w:ilvl w:val="0"/>
          <w:numId w:val="17"/>
        </w:numPr>
        <w:spacing w:line="360" w:lineRule="auto"/>
        <w:textAlignment w:val="baseline"/>
        <w:rPr>
          <w:rFonts w:eastAsia="ＭＳ 明朝" w:hint="eastAsia"/>
          <w:b/>
          <w:bCs/>
          <w:sz w:val="26"/>
          <w:szCs w:val="26"/>
        </w:rPr>
      </w:pPr>
      <w:r>
        <w:rPr>
          <w:rFonts w:ascii="ＭＳ 明朝" w:eastAsia="ＭＳ 明朝" w:hAnsi="ＭＳ 明朝"/>
          <w:b/>
          <w:bCs/>
          <w:sz w:val="26"/>
          <w:szCs w:val="26"/>
        </w:rPr>
        <w:t>(人的管理)</w:t>
      </w:r>
    </w:p>
    <w:p w14:paraId="30E9DC8A"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役職員等は、営業秘密に関する就業規則の定め及び不正競争防止法等の法令を遵守しなければならず、総括責任者の指示に従い、秘密保持誓約書を作成・提出しなければならない。</w:t>
      </w:r>
    </w:p>
    <w:p w14:paraId="16BE5567"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2　役職員等は、当社の実施する営業秘密管理に関する研修に参加しなければならない。</w:t>
      </w:r>
    </w:p>
    <w:p w14:paraId="1EDF1DE5"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3　役職員等は、退任・退職する際、営業秘密を社外に持ち出すことはできず、営業秘密を含むすべての媒体を当社に返還しなければならない。</w:t>
      </w:r>
    </w:p>
    <w:p w14:paraId="708AACFC" w14:textId="77777777" w:rsidR="00F70DDC" w:rsidRDefault="00F70DDC" w:rsidP="00F70DDC">
      <w:pPr>
        <w:pStyle w:val="Standard"/>
        <w:widowControl/>
        <w:numPr>
          <w:ilvl w:val="0"/>
          <w:numId w:val="17"/>
        </w:numPr>
        <w:spacing w:line="360" w:lineRule="auto"/>
        <w:textAlignment w:val="baseline"/>
        <w:rPr>
          <w:rFonts w:eastAsia="ＭＳ 明朝" w:hint="eastAsia"/>
          <w:b/>
          <w:bCs/>
          <w:sz w:val="26"/>
          <w:szCs w:val="26"/>
        </w:rPr>
      </w:pPr>
      <w:r>
        <w:rPr>
          <w:rFonts w:ascii="ＭＳ 明朝" w:eastAsia="ＭＳ 明朝" w:hAnsi="ＭＳ 明朝"/>
          <w:b/>
          <w:bCs/>
          <w:sz w:val="26"/>
          <w:szCs w:val="26"/>
        </w:rPr>
        <w:t>(外部への開示)</w:t>
      </w:r>
    </w:p>
    <w:p w14:paraId="131B34BD"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委員会は、管理基準において、当社秘密の外部開示の際に遵守すべき事項を定める。</w:t>
      </w:r>
    </w:p>
    <w:p w14:paraId="15C2ED70"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2　役職員等は、当社秘密を外部開示する際は、前項の基準に従い、あらかじめ総括責任者に報告して秘密保持契約を締結するものとし、秘密保持に十分注意しなければならない。</w:t>
      </w:r>
    </w:p>
    <w:p w14:paraId="721B8CB2" w14:textId="77777777" w:rsidR="00F70DDC" w:rsidRDefault="00F70DDC" w:rsidP="00F70DDC">
      <w:pPr>
        <w:pStyle w:val="Standard"/>
        <w:widowControl/>
        <w:numPr>
          <w:ilvl w:val="0"/>
          <w:numId w:val="17"/>
        </w:numPr>
        <w:spacing w:line="360" w:lineRule="auto"/>
        <w:textAlignment w:val="baseline"/>
        <w:rPr>
          <w:rFonts w:eastAsia="ＭＳ 明朝" w:hint="eastAsia"/>
          <w:b/>
          <w:bCs/>
          <w:sz w:val="26"/>
          <w:szCs w:val="26"/>
        </w:rPr>
      </w:pPr>
      <w:r>
        <w:rPr>
          <w:rFonts w:ascii="ＭＳ 明朝" w:eastAsia="ＭＳ 明朝" w:hAnsi="ＭＳ 明朝"/>
          <w:b/>
          <w:bCs/>
          <w:sz w:val="26"/>
          <w:szCs w:val="26"/>
        </w:rPr>
        <w:t>(他社秘密の取扱い)</w:t>
      </w:r>
    </w:p>
    <w:p w14:paraId="25F16C8C"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役職員等は、他社秘密を取得する際は、開示者が正当な権限を有するかを確認する等、適正な手続きを経るものとし、法令その他のルールに違反してはならない。</w:t>
      </w:r>
    </w:p>
    <w:p w14:paraId="39DDEF48"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2　役職員等は、他社秘密につき、当社秘密と同様の秘密管理措置をとり、また、当社秘密との混同を回避しなければならない。</w:t>
      </w:r>
    </w:p>
    <w:p w14:paraId="12316E62"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3　役職員等を中途採用する際には、他社秘密の混入・使用を防ぐため、総括責任者による面接を実施し、誓約書を提出させなければならない。</w:t>
      </w:r>
    </w:p>
    <w:p w14:paraId="0D64552F" w14:textId="77777777" w:rsidR="00F70DDC" w:rsidRDefault="00F70DDC" w:rsidP="00F70DDC">
      <w:pPr>
        <w:pStyle w:val="Standard"/>
        <w:widowControl/>
        <w:numPr>
          <w:ilvl w:val="0"/>
          <w:numId w:val="17"/>
        </w:numPr>
        <w:spacing w:line="360" w:lineRule="auto"/>
        <w:textAlignment w:val="baseline"/>
        <w:rPr>
          <w:rFonts w:eastAsia="ＭＳ 明朝" w:hint="eastAsia"/>
          <w:b/>
          <w:bCs/>
          <w:sz w:val="26"/>
          <w:szCs w:val="26"/>
        </w:rPr>
      </w:pPr>
      <w:r>
        <w:rPr>
          <w:rFonts w:ascii="ＭＳ 明朝" w:eastAsia="ＭＳ 明朝" w:hAnsi="ＭＳ 明朝"/>
          <w:b/>
          <w:bCs/>
          <w:sz w:val="26"/>
          <w:szCs w:val="26"/>
        </w:rPr>
        <w:t>(事故発生時の対応)</w:t>
      </w:r>
    </w:p>
    <w:p w14:paraId="5D24ACA9"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営業秘密の不正開示・使用等の事故が生じたときは、委員会は、原因究明を行うとともに、二次的被害の発生を防ぐため、適切な処置をとるものとする。</w:t>
      </w:r>
    </w:p>
    <w:p w14:paraId="6300BF43" w14:textId="77777777" w:rsidR="00F70DDC" w:rsidRDefault="00F70DDC" w:rsidP="00F70DDC">
      <w:pPr>
        <w:pStyle w:val="Standard"/>
        <w:widowControl/>
        <w:numPr>
          <w:ilvl w:val="1"/>
          <w:numId w:val="17"/>
        </w:numPr>
        <w:spacing w:line="360" w:lineRule="auto"/>
        <w:textAlignment w:val="baseline"/>
        <w:rPr>
          <w:rFonts w:eastAsia="ＭＳ 明朝" w:hint="eastAsia"/>
        </w:rPr>
      </w:pPr>
      <w:r>
        <w:rPr>
          <w:rFonts w:ascii="ＭＳ 明朝" w:eastAsia="ＭＳ 明朝" w:hAnsi="ＭＳ 明朝"/>
        </w:rPr>
        <w:t xml:space="preserve">　2　役職員等が営業秘密の不正開示・使用等に関与したことが判明したときは、就業規則の定めに従い、処分を受けるほか、当社または他社に生じた損害を賠償しなければならない。</w:t>
      </w:r>
    </w:p>
    <w:p w14:paraId="2EB64E73" w14:textId="77777777" w:rsidR="00663C3D" w:rsidRPr="00F70DDC" w:rsidRDefault="00663C3D" w:rsidP="00F70DDC"/>
    <w:sectPr w:rsidR="00663C3D" w:rsidRPr="00F70DD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A0B11" w14:textId="77777777" w:rsidR="00CA4D8A" w:rsidRDefault="00CA4D8A" w:rsidP="009D1716">
      <w:r>
        <w:separator/>
      </w:r>
    </w:p>
  </w:endnote>
  <w:endnote w:type="continuationSeparator" w:id="0">
    <w:p w14:paraId="71934FE9" w14:textId="77777777" w:rsidR="00CA4D8A" w:rsidRDefault="00CA4D8A"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1021" w14:textId="77777777" w:rsidR="00CA4D8A" w:rsidRDefault="00CA4D8A" w:rsidP="009D1716">
      <w:r>
        <w:separator/>
      </w:r>
    </w:p>
  </w:footnote>
  <w:footnote w:type="continuationSeparator" w:id="0">
    <w:p w14:paraId="17DEEC16" w14:textId="77777777" w:rsidR="00CA4D8A" w:rsidRDefault="00CA4D8A"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3563161"/>
    <w:multiLevelType w:val="multilevel"/>
    <w:tmpl w:val="42041AD8"/>
    <w:lvl w:ilvl="0">
      <w:start w:val="1"/>
      <w:numFmt w:val="decimal"/>
      <w:suff w:val="space"/>
      <w:lvlText w:val="第%1条"/>
      <w:lvlJc w:val="left"/>
      <w:pPr>
        <w:ind w:left="720" w:hanging="663"/>
      </w:pPr>
      <w:rPr>
        <w:sz w:val="22"/>
        <w:szCs w:val="22"/>
      </w:rPr>
    </w:lvl>
    <w:lvl w:ilvl="1">
      <w:start w:val="1"/>
      <w:numFmt w:val="none"/>
      <w:suff w:val="space"/>
      <w:lvlText w:val="%2"/>
      <w:lvlJc w:val="left"/>
      <w:pPr>
        <w:ind w:left="397" w:hanging="227"/>
      </w:pPr>
      <w:rPr>
        <w:sz w:val="22"/>
        <w:szCs w:val="22"/>
      </w:rPr>
    </w:lvl>
    <w:lvl w:ilvl="2">
      <w:start w:val="1"/>
      <w:numFmt w:val="decimal"/>
      <w:lvlText w:val="第%3条"/>
      <w:lvlJc w:val="left"/>
      <w:pPr>
        <w:ind w:left="1440" w:hanging="360"/>
      </w:pPr>
      <w:rPr>
        <w:sz w:val="22"/>
        <w:szCs w:val="22"/>
      </w:rPr>
    </w:lvl>
    <w:lvl w:ilvl="3">
      <w:start w:val="1"/>
      <w:numFmt w:val="decimal"/>
      <w:lvlText w:val="第%4条"/>
      <w:lvlJc w:val="left"/>
      <w:pPr>
        <w:ind w:left="1800" w:hanging="360"/>
      </w:pPr>
      <w:rPr>
        <w:sz w:val="22"/>
        <w:szCs w:val="22"/>
      </w:rPr>
    </w:lvl>
    <w:lvl w:ilvl="4">
      <w:start w:val="1"/>
      <w:numFmt w:val="decimal"/>
      <w:lvlText w:val="第%5条"/>
      <w:lvlJc w:val="left"/>
      <w:pPr>
        <w:ind w:left="2160" w:hanging="360"/>
      </w:pPr>
      <w:rPr>
        <w:sz w:val="22"/>
        <w:szCs w:val="22"/>
      </w:rPr>
    </w:lvl>
    <w:lvl w:ilvl="5">
      <w:start w:val="1"/>
      <w:numFmt w:val="decimal"/>
      <w:lvlText w:val="第%6条"/>
      <w:lvlJc w:val="left"/>
      <w:pPr>
        <w:ind w:left="2520" w:hanging="360"/>
      </w:pPr>
      <w:rPr>
        <w:sz w:val="22"/>
        <w:szCs w:val="22"/>
      </w:rPr>
    </w:lvl>
    <w:lvl w:ilvl="6">
      <w:start w:val="1"/>
      <w:numFmt w:val="decimal"/>
      <w:lvlText w:val="第%7条"/>
      <w:lvlJc w:val="left"/>
      <w:pPr>
        <w:ind w:left="2880" w:hanging="360"/>
      </w:pPr>
      <w:rPr>
        <w:sz w:val="22"/>
        <w:szCs w:val="22"/>
      </w:rPr>
    </w:lvl>
    <w:lvl w:ilvl="7">
      <w:start w:val="1"/>
      <w:numFmt w:val="decimal"/>
      <w:lvlText w:val="第%8条"/>
      <w:lvlJc w:val="left"/>
      <w:pPr>
        <w:ind w:left="3240" w:hanging="360"/>
      </w:pPr>
      <w:rPr>
        <w:sz w:val="22"/>
        <w:szCs w:val="22"/>
      </w:rPr>
    </w:lvl>
    <w:lvl w:ilvl="8">
      <w:start w:val="1"/>
      <w:numFmt w:val="decimal"/>
      <w:lvlText w:val="第%9条"/>
      <w:lvlJc w:val="left"/>
      <w:pPr>
        <w:ind w:left="3600" w:hanging="360"/>
      </w:pPr>
      <w:rPr>
        <w:sz w:val="22"/>
        <w:szCs w:val="22"/>
      </w:r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6B74319"/>
    <w:multiLevelType w:val="multilevel"/>
    <w:tmpl w:val="B5063E62"/>
    <w:lvl w:ilvl="0">
      <w:start w:val="1"/>
      <w:numFmt w:val="decimal"/>
      <w:suff w:val="space"/>
      <w:lvlText w:val="第%1条"/>
      <w:lvlJc w:val="left"/>
      <w:pPr>
        <w:ind w:left="720" w:hanging="663"/>
      </w:pPr>
      <w:rPr>
        <w:sz w:val="22"/>
        <w:szCs w:val="22"/>
      </w:rPr>
    </w:lvl>
    <w:lvl w:ilvl="1">
      <w:start w:val="1"/>
      <w:numFmt w:val="none"/>
      <w:suff w:val="space"/>
      <w:lvlText w:val="%2"/>
      <w:lvlJc w:val="left"/>
      <w:pPr>
        <w:ind w:left="397" w:hanging="227"/>
      </w:pPr>
      <w:rPr>
        <w:sz w:val="22"/>
        <w:szCs w:val="22"/>
      </w:rPr>
    </w:lvl>
    <w:lvl w:ilvl="2">
      <w:start w:val="1"/>
      <w:numFmt w:val="decimal"/>
      <w:lvlText w:val="第%3条"/>
      <w:lvlJc w:val="left"/>
      <w:pPr>
        <w:ind w:left="1440" w:hanging="360"/>
      </w:pPr>
      <w:rPr>
        <w:sz w:val="22"/>
        <w:szCs w:val="22"/>
      </w:rPr>
    </w:lvl>
    <w:lvl w:ilvl="3">
      <w:start w:val="1"/>
      <w:numFmt w:val="decimal"/>
      <w:lvlText w:val="第%4条"/>
      <w:lvlJc w:val="left"/>
      <w:pPr>
        <w:ind w:left="1800" w:hanging="360"/>
      </w:pPr>
      <w:rPr>
        <w:sz w:val="22"/>
        <w:szCs w:val="22"/>
      </w:rPr>
    </w:lvl>
    <w:lvl w:ilvl="4">
      <w:start w:val="1"/>
      <w:numFmt w:val="decimal"/>
      <w:lvlText w:val="第%5条"/>
      <w:lvlJc w:val="left"/>
      <w:pPr>
        <w:ind w:left="2160" w:hanging="360"/>
      </w:pPr>
      <w:rPr>
        <w:sz w:val="22"/>
        <w:szCs w:val="22"/>
      </w:rPr>
    </w:lvl>
    <w:lvl w:ilvl="5">
      <w:start w:val="1"/>
      <w:numFmt w:val="decimal"/>
      <w:lvlText w:val="第%6条"/>
      <w:lvlJc w:val="left"/>
      <w:pPr>
        <w:ind w:left="2520" w:hanging="360"/>
      </w:pPr>
      <w:rPr>
        <w:sz w:val="22"/>
        <w:szCs w:val="22"/>
      </w:rPr>
    </w:lvl>
    <w:lvl w:ilvl="6">
      <w:start w:val="1"/>
      <w:numFmt w:val="decimal"/>
      <w:lvlText w:val="第%7条"/>
      <w:lvlJc w:val="left"/>
      <w:pPr>
        <w:ind w:left="2880" w:hanging="360"/>
      </w:pPr>
      <w:rPr>
        <w:sz w:val="22"/>
        <w:szCs w:val="22"/>
      </w:rPr>
    </w:lvl>
    <w:lvl w:ilvl="7">
      <w:start w:val="1"/>
      <w:numFmt w:val="decimal"/>
      <w:lvlText w:val="第%8条"/>
      <w:lvlJc w:val="left"/>
      <w:pPr>
        <w:ind w:left="3240" w:hanging="360"/>
      </w:pPr>
      <w:rPr>
        <w:sz w:val="22"/>
        <w:szCs w:val="22"/>
      </w:rPr>
    </w:lvl>
    <w:lvl w:ilvl="8">
      <w:start w:val="1"/>
      <w:numFmt w:val="decimal"/>
      <w:lvlText w:val="第%9条"/>
      <w:lvlJc w:val="left"/>
      <w:pPr>
        <w:ind w:left="3600" w:hanging="360"/>
      </w:pPr>
      <w:rPr>
        <w:sz w:val="22"/>
        <w:szCs w:val="22"/>
      </w:rPr>
    </w:lvl>
  </w:abstractNum>
  <w:abstractNum w:abstractNumId="14" w15:restartNumberingAfterBreak="0">
    <w:nsid w:val="6B4A39CD"/>
    <w:multiLevelType w:val="multilevel"/>
    <w:tmpl w:val="3C282952"/>
    <w:lvl w:ilvl="0">
      <w:start w:val="1"/>
      <w:numFmt w:val="decimalFullWidth"/>
      <w:suff w:val="space"/>
      <w:lvlText w:val="第%1条"/>
      <w:lvlJc w:val="left"/>
      <w:pPr>
        <w:ind w:left="720" w:hanging="550"/>
      </w:pPr>
      <w:rPr>
        <w:sz w:val="27"/>
        <w:szCs w:val="27"/>
      </w:rPr>
    </w:lvl>
    <w:lvl w:ilvl="1">
      <w:start w:val="1"/>
      <w:numFmt w:val="none"/>
      <w:suff w:val="space"/>
      <w:lvlText w:val="%2"/>
      <w:lvlJc w:val="left"/>
      <w:pPr>
        <w:ind w:left="386" w:firstLine="0"/>
      </w:pPr>
      <w:rPr>
        <w:sz w:val="27"/>
        <w:szCs w:val="27"/>
      </w:rPr>
    </w:lvl>
    <w:lvl w:ilvl="2">
      <w:numFmt w:val="bullet"/>
      <w:lvlText w:val="•"/>
      <w:lvlJc w:val="left"/>
      <w:pPr>
        <w:ind w:left="720" w:firstLine="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7"/>
  </w:num>
  <w:num w:numId="5">
    <w:abstractNumId w:val="11"/>
  </w:num>
  <w:num w:numId="6">
    <w:abstractNumId w:val="9"/>
  </w:num>
  <w:num w:numId="7">
    <w:abstractNumId w:val="6"/>
  </w:num>
  <w:num w:numId="8">
    <w:abstractNumId w:val="8"/>
  </w:num>
  <w:num w:numId="9">
    <w:abstractNumId w:val="12"/>
  </w:num>
  <w:num w:numId="10">
    <w:abstractNumId w:val="4"/>
  </w:num>
  <w:num w:numId="11">
    <w:abstractNumId w:val="16"/>
  </w:num>
  <w:num w:numId="12">
    <w:abstractNumId w:val="5"/>
  </w:num>
  <w:num w:numId="13">
    <w:abstractNumId w:val="10"/>
  </w:num>
  <w:num w:numId="14">
    <w:abstractNumId w:val="0"/>
  </w:num>
  <w:num w:numId="15">
    <w:abstractNumId w:val="15"/>
  </w:num>
  <w:num w:numId="16">
    <w:abstractNumId w:val="14"/>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931D2"/>
    <w:rsid w:val="000C27FA"/>
    <w:rsid w:val="000D3959"/>
    <w:rsid w:val="000F1C83"/>
    <w:rsid w:val="00102F2A"/>
    <w:rsid w:val="00132FC9"/>
    <w:rsid w:val="00151816"/>
    <w:rsid w:val="00154716"/>
    <w:rsid w:val="00165945"/>
    <w:rsid w:val="001A6DAA"/>
    <w:rsid w:val="0021409D"/>
    <w:rsid w:val="00220DB6"/>
    <w:rsid w:val="00225EEE"/>
    <w:rsid w:val="002842FA"/>
    <w:rsid w:val="002B406A"/>
    <w:rsid w:val="002F3005"/>
    <w:rsid w:val="00305238"/>
    <w:rsid w:val="00361E8E"/>
    <w:rsid w:val="00364209"/>
    <w:rsid w:val="003846E0"/>
    <w:rsid w:val="003A098A"/>
    <w:rsid w:val="003A555C"/>
    <w:rsid w:val="003A7117"/>
    <w:rsid w:val="003C6D63"/>
    <w:rsid w:val="003D5C7B"/>
    <w:rsid w:val="00455134"/>
    <w:rsid w:val="004666E5"/>
    <w:rsid w:val="00483A59"/>
    <w:rsid w:val="004E7C90"/>
    <w:rsid w:val="0050468E"/>
    <w:rsid w:val="00532F6E"/>
    <w:rsid w:val="00533225"/>
    <w:rsid w:val="005B05FC"/>
    <w:rsid w:val="006144C0"/>
    <w:rsid w:val="00663C3D"/>
    <w:rsid w:val="00686DC3"/>
    <w:rsid w:val="006F4E49"/>
    <w:rsid w:val="007277E8"/>
    <w:rsid w:val="007563B6"/>
    <w:rsid w:val="007609D1"/>
    <w:rsid w:val="00762D6A"/>
    <w:rsid w:val="007F0EEE"/>
    <w:rsid w:val="0080512E"/>
    <w:rsid w:val="00811604"/>
    <w:rsid w:val="0081393A"/>
    <w:rsid w:val="008203C1"/>
    <w:rsid w:val="0082408E"/>
    <w:rsid w:val="00844787"/>
    <w:rsid w:val="00866BD0"/>
    <w:rsid w:val="008863D7"/>
    <w:rsid w:val="008B249C"/>
    <w:rsid w:val="008D352D"/>
    <w:rsid w:val="00907FB4"/>
    <w:rsid w:val="009770A7"/>
    <w:rsid w:val="0099028E"/>
    <w:rsid w:val="00996867"/>
    <w:rsid w:val="009C3DE5"/>
    <w:rsid w:val="009D1716"/>
    <w:rsid w:val="009F4C9A"/>
    <w:rsid w:val="00A440BE"/>
    <w:rsid w:val="00A46A15"/>
    <w:rsid w:val="00A96586"/>
    <w:rsid w:val="00AC6B98"/>
    <w:rsid w:val="00AE2339"/>
    <w:rsid w:val="00B26E45"/>
    <w:rsid w:val="00B517F8"/>
    <w:rsid w:val="00BA13D7"/>
    <w:rsid w:val="00BA72A2"/>
    <w:rsid w:val="00BB2DEC"/>
    <w:rsid w:val="00C06063"/>
    <w:rsid w:val="00C26AEC"/>
    <w:rsid w:val="00C92B59"/>
    <w:rsid w:val="00CA455E"/>
    <w:rsid w:val="00CA4D8A"/>
    <w:rsid w:val="00CB74B8"/>
    <w:rsid w:val="00CC48E2"/>
    <w:rsid w:val="00D1686B"/>
    <w:rsid w:val="00E024E8"/>
    <w:rsid w:val="00E31C9A"/>
    <w:rsid w:val="00E52561"/>
    <w:rsid w:val="00E73F09"/>
    <w:rsid w:val="00E93163"/>
    <w:rsid w:val="00E97F9D"/>
    <w:rsid w:val="00EA7127"/>
    <w:rsid w:val="00EB435B"/>
    <w:rsid w:val="00EC1021"/>
    <w:rsid w:val="00ED37AD"/>
    <w:rsid w:val="00EF64C6"/>
    <w:rsid w:val="00F0707E"/>
    <w:rsid w:val="00F51A78"/>
    <w:rsid w:val="00F70DDC"/>
    <w:rsid w:val="00F74707"/>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75308C"/>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3BA7-CD1F-4B3E-9658-1B236119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894</Characters>
  <Application>Microsoft Office Word</Application>
  <DocSecurity>0</DocSecurity>
  <Lines>30</Lines>
  <Paragraphs>35</Paragraphs>
  <ScaleCrop>false</ScaleCrop>
  <HeadingPairs>
    <vt:vector size="2" baseType="variant">
      <vt:variant>
        <vt:lpstr>タイトル</vt:lpstr>
      </vt:variant>
      <vt:variant>
        <vt:i4>1</vt:i4>
      </vt:variant>
    </vt:vector>
  </HeadingPairs>
  <TitlesOfParts>
    <vt:vector size="1" baseType="lpstr">
      <vt:lpstr>営業秘密管理規程</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営業秘密管理規程</dc:title>
  <dc:subject>ビジネス文書</dc:subject>
  <dc:creator>ホウフリンク</dc:creator>
  <cp:keywords/>
  <dc:description>【2020/02/28】
リリース</dc:description>
  <cp:lastModifiedBy>ホウフ リンク</cp:lastModifiedBy>
  <cp:revision>2</cp:revision>
  <cp:lastPrinted>2019-05-16T01:29:00Z</cp:lastPrinted>
  <dcterms:created xsi:type="dcterms:W3CDTF">2020-02-27T05:22:00Z</dcterms:created>
  <dcterms:modified xsi:type="dcterms:W3CDTF">2020-02-27T05:22:00Z</dcterms:modified>
</cp:coreProperties>
</file>