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645" w:type="dxa"/>
        <w:tblLayout w:type="fixed"/>
        <w:tblCellMar>
          <w:left w:w="10" w:type="dxa"/>
          <w:right w:w="10" w:type="dxa"/>
        </w:tblCellMar>
        <w:tblLook w:val="0000" w:firstRow="0" w:lastRow="0" w:firstColumn="0" w:lastColumn="0" w:noHBand="0" w:noVBand="0"/>
      </w:tblPr>
      <w:tblGrid>
        <w:gridCol w:w="8565"/>
        <w:gridCol w:w="1080"/>
      </w:tblGrid>
      <w:tr w:rsidR="00014E86" w14:paraId="3010A84A" w14:textId="77777777" w:rsidTr="00321D60">
        <w:trPr>
          <w:trHeight w:hRule="exact" w:val="703"/>
        </w:trPr>
        <w:tc>
          <w:tcPr>
            <w:tcW w:w="8565" w:type="dxa"/>
            <w:vMerge w:val="restart"/>
            <w:tcBorders>
              <w:bottom w:val="single" w:sz="18" w:space="0" w:color="000000"/>
            </w:tcBorders>
            <w:tcMar>
              <w:top w:w="28" w:type="dxa"/>
              <w:left w:w="28" w:type="dxa"/>
              <w:bottom w:w="28" w:type="dxa"/>
              <w:right w:w="28" w:type="dxa"/>
            </w:tcMar>
            <w:vAlign w:val="center"/>
          </w:tcPr>
          <w:p w14:paraId="7C0017CC" w14:textId="77777777" w:rsidR="00014E86" w:rsidRDefault="00014E86" w:rsidP="00321D60">
            <w:pPr>
              <w:pStyle w:val="a7"/>
              <w:spacing w:before="31" w:after="122"/>
              <w:rPr>
                <w:sz w:val="36"/>
                <w:szCs w:val="36"/>
              </w:rPr>
            </w:pPr>
            <w:r>
              <w:rPr>
                <w:sz w:val="36"/>
                <w:szCs w:val="36"/>
              </w:rPr>
              <w:t>引越し２週間前までにすること</w:t>
            </w:r>
          </w:p>
          <w:p w14:paraId="2A9DEC0A" w14:textId="77777777" w:rsidR="00014E86" w:rsidRDefault="00014E86" w:rsidP="00321D60">
            <w:pPr>
              <w:pStyle w:val="Standard"/>
              <w:spacing w:before="31" w:after="122"/>
              <w:jc w:val="center"/>
              <w:rPr>
                <w:sz w:val="27"/>
                <w:szCs w:val="27"/>
              </w:rPr>
            </w:pPr>
            <w:r>
              <w:rPr>
                <w:sz w:val="27"/>
                <w:szCs w:val="27"/>
              </w:rPr>
              <w:t>（令和　　年　　月　　日まで）</w:t>
            </w:r>
          </w:p>
        </w:tc>
        <w:tc>
          <w:tcPr>
            <w:tcW w:w="1080" w:type="dxa"/>
            <w:tcMar>
              <w:top w:w="28" w:type="dxa"/>
              <w:left w:w="28" w:type="dxa"/>
              <w:bottom w:w="28" w:type="dxa"/>
              <w:right w:w="28" w:type="dxa"/>
            </w:tcMar>
            <w:vAlign w:val="center"/>
          </w:tcPr>
          <w:p w14:paraId="07750A16" w14:textId="77777777" w:rsidR="00014E86" w:rsidRDefault="00014E86" w:rsidP="00321D60">
            <w:pPr>
              <w:pStyle w:val="TableContents"/>
            </w:pPr>
            <w:r>
              <w:t>（　　）</w:t>
            </w:r>
          </w:p>
        </w:tc>
      </w:tr>
      <w:tr w:rsidR="00014E86" w14:paraId="26AEA566" w14:textId="77777777" w:rsidTr="00321D60">
        <w:trPr>
          <w:trHeight w:hRule="exact" w:val="386"/>
        </w:trPr>
        <w:tc>
          <w:tcPr>
            <w:tcW w:w="8565" w:type="dxa"/>
            <w:vMerge/>
            <w:tcBorders>
              <w:bottom w:val="single" w:sz="18" w:space="0" w:color="000000"/>
            </w:tcBorders>
            <w:tcMar>
              <w:top w:w="28" w:type="dxa"/>
              <w:left w:w="28" w:type="dxa"/>
              <w:bottom w:w="28" w:type="dxa"/>
              <w:right w:w="28" w:type="dxa"/>
            </w:tcMar>
            <w:vAlign w:val="center"/>
          </w:tcPr>
          <w:p w14:paraId="0A14DE80" w14:textId="77777777" w:rsidR="00014E86" w:rsidRPr="004A3DD8" w:rsidRDefault="00014E86" w:rsidP="00321D60">
            <w:pPr>
              <w:rPr>
                <w:rFonts w:asciiTheme="minorEastAsia" w:hAnsiTheme="minorEastAsia"/>
                <w:sz w:val="21"/>
                <w:szCs w:val="21"/>
              </w:rPr>
            </w:pPr>
          </w:p>
        </w:tc>
        <w:tc>
          <w:tcPr>
            <w:tcW w:w="1080" w:type="dxa"/>
            <w:tcBorders>
              <w:top w:val="single" w:sz="18" w:space="0" w:color="000000"/>
              <w:left w:val="single" w:sz="18" w:space="0" w:color="000000"/>
              <w:bottom w:val="single" w:sz="18" w:space="0" w:color="000000"/>
              <w:right w:val="single" w:sz="18" w:space="0" w:color="000000"/>
            </w:tcBorders>
            <w:tcMar>
              <w:top w:w="28" w:type="dxa"/>
              <w:left w:w="28" w:type="dxa"/>
              <w:bottom w:w="28" w:type="dxa"/>
              <w:right w:w="28" w:type="dxa"/>
            </w:tcMar>
            <w:vAlign w:val="center"/>
          </w:tcPr>
          <w:p w14:paraId="5DA89024" w14:textId="77777777" w:rsidR="00014E86" w:rsidRPr="004A3DD8" w:rsidRDefault="00014E86" w:rsidP="00321D60">
            <w:pPr>
              <w:pStyle w:val="TableContents"/>
              <w:jc w:val="center"/>
              <w:rPr>
                <w:rFonts w:asciiTheme="minorEastAsia" w:hAnsiTheme="minorEastAsia"/>
                <w:sz w:val="21"/>
                <w:szCs w:val="21"/>
              </w:rPr>
            </w:pPr>
            <w:r w:rsidRPr="004A3DD8">
              <w:rPr>
                <w:rFonts w:asciiTheme="minorEastAsia" w:hAnsiTheme="minorEastAsia"/>
                <w:sz w:val="21"/>
                <w:szCs w:val="21"/>
              </w:rPr>
              <w:t>チェック</w:t>
            </w:r>
          </w:p>
        </w:tc>
      </w:tr>
      <w:tr w:rsidR="00014E86" w14:paraId="245C9B06" w14:textId="77777777" w:rsidTr="00321D6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150BF840"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1. 新しく購入するモノのリストアップと購入</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073F5997" w14:textId="77777777" w:rsidR="00014E86" w:rsidRPr="004A3DD8" w:rsidRDefault="00014E86" w:rsidP="00321D60">
            <w:pPr>
              <w:pStyle w:val="TableContents"/>
              <w:rPr>
                <w:rFonts w:asciiTheme="minorEastAsia" w:hAnsiTheme="minorEastAsia"/>
                <w:sz w:val="21"/>
                <w:szCs w:val="21"/>
              </w:rPr>
            </w:pPr>
          </w:p>
        </w:tc>
      </w:tr>
      <w:tr w:rsidR="00014E86" w14:paraId="5029DCE5" w14:textId="77777777" w:rsidTr="00321D60">
        <w:tc>
          <w:tcPr>
            <w:tcW w:w="9645" w:type="dxa"/>
            <w:gridSpan w:val="2"/>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0FB3EC41"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【カーテン・ブラインド】</w:t>
            </w:r>
          </w:p>
          <w:p w14:paraId="047B4080"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新居の下見と家具の配置を検討する」の項でも説明したとおり、カーテンやブラインドなど引越してすぐに使うものは、できれば引越し前に用意しましょう。寝室などが外から丸見えだと、引越し後数日間は不自由な生活を強いられてしまいます。</w:t>
            </w:r>
          </w:p>
          <w:p w14:paraId="07661B89"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【エアコン】</w:t>
            </w:r>
          </w:p>
          <w:p w14:paraId="733B109D"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引越し前に旧居で使っていたエアコンがそのまま使えるかどうかも確認しましょう。室外機の置き場所や室内機の設置場所にも注意が必要です。</w:t>
            </w:r>
          </w:p>
          <w:p w14:paraId="3BF93991"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【ガス器具】</w:t>
            </w:r>
          </w:p>
          <w:p w14:paraId="6322441E"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ガス製品の規格も確認しましょう。都市ガスやプロパンガスだけでなく、さまざまな規格があるので、手持ちのガス製品がそのまま使えるとは限りません。ガス器具の側面などにラベルが貼られており適合規格がわかります(13A、12Aなど)。詳しくは引越し先のガス会社にお問合せ下さい。</w:t>
            </w:r>
          </w:p>
          <w:p w14:paraId="349C27F0"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【家電・大型家具】</w:t>
            </w:r>
          </w:p>
          <w:p w14:paraId="65B4F162"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家電や大型の家具などを新たに購入するときには、引越しの予定に合わせて、新居に届けてもらうように手配した方がよいでしょう。</w:t>
            </w:r>
          </w:p>
          <w:p w14:paraId="699D3C94"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期限が限定される引越しの場合、家電レンタルサービス(運搬・設置・メンテナンス含む)を利用すると、お得になる場合があります。 家電リサイクル法の施行により、家電製品の廃棄処分も難しくなっている中、この家電レンタルサービスは単身生活者をサポートするサービスとして注目されています。</w:t>
            </w:r>
          </w:p>
        </w:tc>
      </w:tr>
      <w:tr w:rsidR="00014E86" w14:paraId="5A074ED8" w14:textId="77777777" w:rsidTr="00321D6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710C22F1"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2. 家具の配置を決定する</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79A56B03" w14:textId="77777777" w:rsidR="00014E86" w:rsidRPr="004A3DD8" w:rsidRDefault="00014E86" w:rsidP="00321D60">
            <w:pPr>
              <w:pStyle w:val="TableContents"/>
              <w:rPr>
                <w:rFonts w:asciiTheme="minorEastAsia" w:hAnsiTheme="minorEastAsia"/>
                <w:sz w:val="21"/>
                <w:szCs w:val="21"/>
              </w:rPr>
            </w:pPr>
          </w:p>
        </w:tc>
      </w:tr>
      <w:tr w:rsidR="00014E86" w14:paraId="79A661A8" w14:textId="77777777" w:rsidTr="00321D60">
        <w:tc>
          <w:tcPr>
            <w:tcW w:w="9645" w:type="dxa"/>
            <w:gridSpan w:val="2"/>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65689EF1"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引越し前に、新居の間取図を見ながら「この部屋は寝室、この部屋は子供部屋・・・」と部屋割りを決める際に、それぞれの部屋に置く家具や家電の位置もある程度は決めておきましょう。できれば、部屋ごとに家具の配置図を作って、部屋のドアなどに貼り付けておくと引越し当日の作業がスムーズになります。「これはここ、それはあっち」といちいち指示する手間が省けるというメリットもあります。</w:t>
            </w:r>
          </w:p>
        </w:tc>
      </w:tr>
      <w:tr w:rsidR="00014E86" w14:paraId="14CFEA0F" w14:textId="77777777" w:rsidTr="00321D6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7EFD6FA0"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3. 梱包資材を手に入れる</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5BB0483B" w14:textId="77777777" w:rsidR="00014E86" w:rsidRPr="004A3DD8" w:rsidRDefault="00014E86" w:rsidP="00321D60">
            <w:pPr>
              <w:pStyle w:val="TableContents"/>
              <w:rPr>
                <w:rFonts w:asciiTheme="minorEastAsia" w:hAnsiTheme="minorEastAsia"/>
                <w:sz w:val="21"/>
                <w:szCs w:val="21"/>
              </w:rPr>
            </w:pPr>
          </w:p>
        </w:tc>
      </w:tr>
      <w:tr w:rsidR="00014E86" w14:paraId="66EC4D80" w14:textId="77777777" w:rsidTr="00321D60">
        <w:tc>
          <w:tcPr>
            <w:tcW w:w="9645" w:type="dxa"/>
            <w:gridSpan w:val="2"/>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07530723"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引越会社によって、ダンボール箱がサービス対象に含まれていることもあります。あるいは販売したり、中古のダンボールをサービスしてくれたりといったケースもあるので、事前に確認しておきましょう。</w:t>
            </w:r>
          </w:p>
          <w:p w14:paraId="17457A59"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スーパーや商店などを回って無料で譲ってもらうか、あるいは自費で買ってくる方法もあります。ホームセンターなどに行けば梱包用のダンボール箱を売っています。</w:t>
            </w:r>
          </w:p>
          <w:p w14:paraId="5F735763"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ただ、家財一切がどの程度の量で、ダンボール箱がいくつ必要になるのかは、なかなかシロウトでは判断できないもの。引越しの見積もりの際、引越会社に聞くのがよいでしょう。そのほか、ガムテープや荷造りヒモなども忘れずに用意しましょう。</w:t>
            </w:r>
          </w:p>
        </w:tc>
      </w:tr>
      <w:tr w:rsidR="00014E86" w14:paraId="39C0E8ED" w14:textId="77777777" w:rsidTr="00321D6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12660DDB"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4. かしこい荷造り</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702E42AD" w14:textId="77777777" w:rsidR="00014E86" w:rsidRPr="004A3DD8" w:rsidRDefault="00014E86" w:rsidP="00321D60">
            <w:pPr>
              <w:pStyle w:val="TableContents"/>
              <w:rPr>
                <w:rFonts w:asciiTheme="minorEastAsia" w:hAnsiTheme="minorEastAsia"/>
                <w:sz w:val="21"/>
                <w:szCs w:val="21"/>
              </w:rPr>
            </w:pPr>
          </w:p>
        </w:tc>
      </w:tr>
      <w:tr w:rsidR="00014E86" w14:paraId="71349103" w14:textId="77777777" w:rsidTr="00321D60">
        <w:tc>
          <w:tcPr>
            <w:tcW w:w="9645" w:type="dxa"/>
            <w:gridSpan w:val="2"/>
            <w:tcBorders>
              <w:left w:val="single" w:sz="18" w:space="0" w:color="000000"/>
              <w:bottom w:val="single" w:sz="18" w:space="0" w:color="000000"/>
              <w:right w:val="single" w:sz="18" w:space="0" w:color="000000"/>
            </w:tcBorders>
            <w:tcMar>
              <w:top w:w="57" w:type="dxa"/>
              <w:left w:w="57" w:type="dxa"/>
              <w:bottom w:w="57" w:type="dxa"/>
              <w:right w:w="57" w:type="dxa"/>
            </w:tcMar>
            <w:vAlign w:val="center"/>
          </w:tcPr>
          <w:p w14:paraId="38B48C2A"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荷造りにはいくつかの鉄則があります。</w:t>
            </w:r>
          </w:p>
          <w:p w14:paraId="099EBBED" w14:textId="114E68E3"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・普段使わないものから優先的に片づけていく。すぐに必要のない書籍や雑誌など重いものから始めて、来客用の食器やオフシーズンの衣類などをダンボール箱に詰めれば、重ねて置くことができる。</w:t>
            </w:r>
          </w:p>
          <w:p w14:paraId="6871FC33" w14:textId="4C6AAFEF"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何がどこに入っているかを明確にする。ダンボール箱に詰めた荷物がどのダンボール箱に入っているかすぐにわかるようにマジックペンなどでしっかりと書き込む。単に「本」「衣類」とだけ書くのではなく、「文庫(1)」「文庫(2)」「誰それの夏物」「下着」という具合に、箱を開けなくても整理できるような工夫が必要。</w:t>
            </w:r>
          </w:p>
          <w:p w14:paraId="77E52886"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・事前に用意している間取図上の部屋の番号等、その箱が新居のどの部屋に運ばれるものかを書い</w:t>
            </w:r>
            <w:r w:rsidRPr="004A3DD8">
              <w:rPr>
                <w:rFonts w:asciiTheme="minorEastAsia" w:hAnsiTheme="minorEastAsia"/>
                <w:sz w:val="21"/>
                <w:szCs w:val="21"/>
              </w:rPr>
              <w:lastRenderedPageBreak/>
              <w:t>ておく。</w:t>
            </w:r>
          </w:p>
          <w:p w14:paraId="2D5085BB"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・食器やガラス製品などには必ず「われもの注意」の表記を。　</w:t>
            </w:r>
          </w:p>
          <w:p w14:paraId="052723E4"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・小物類は単純に箱詰めするだけでなく、小さい紙箱やビニール袋などに分けて入れる。</w:t>
            </w:r>
          </w:p>
          <w:p w14:paraId="499883D8"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・引越し直後に使うものはまとめておく。</w:t>
            </w:r>
          </w:p>
          <w:p w14:paraId="7B06E123"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最低限の食器や簡単な工具類、洗面道具、タオルなどは「すぐつかうもの」としてまとめておくとよい。コンセントに差し込むテーブルタップなどはひとまとめにしておくと便利。</w:t>
            </w:r>
          </w:p>
          <w:p w14:paraId="51F7FC97"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・パソコンやオーディオ機器など、取り扱いに注意が必要なものは、エアーキャップなどのクッション資材が必要。</w:t>
            </w:r>
          </w:p>
          <w:p w14:paraId="31A216E1"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・本などの重い物は、持ち運びの大変さを考え、小さなダンボール箱に詰める。</w:t>
            </w:r>
          </w:p>
          <w:p w14:paraId="32549067"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・ダンボール箱を組み立てる時は、ダンボール箱の底は交互に組みこまずに、テープを貼り組み立てる。</w:t>
            </w:r>
          </w:p>
        </w:tc>
      </w:tr>
    </w:tbl>
    <w:p w14:paraId="08AC18E1" w14:textId="77777777" w:rsidR="00014E86" w:rsidRDefault="00014E86" w:rsidP="00014E86">
      <w:pPr>
        <w:pStyle w:val="Textbody"/>
      </w:pPr>
    </w:p>
    <w:tbl>
      <w:tblPr>
        <w:tblW w:w="9645" w:type="dxa"/>
        <w:tblLayout w:type="fixed"/>
        <w:tblCellMar>
          <w:left w:w="10" w:type="dxa"/>
          <w:right w:w="10" w:type="dxa"/>
        </w:tblCellMar>
        <w:tblLook w:val="0000" w:firstRow="0" w:lastRow="0" w:firstColumn="0" w:lastColumn="0" w:noHBand="0" w:noVBand="0"/>
      </w:tblPr>
      <w:tblGrid>
        <w:gridCol w:w="8565"/>
        <w:gridCol w:w="1080"/>
      </w:tblGrid>
      <w:tr w:rsidR="00014E86" w14:paraId="1C858F66" w14:textId="77777777" w:rsidTr="00321D60">
        <w:trPr>
          <w:trHeight w:hRule="exact" w:val="703"/>
        </w:trPr>
        <w:tc>
          <w:tcPr>
            <w:tcW w:w="8565" w:type="dxa"/>
            <w:vMerge w:val="restart"/>
            <w:tcBorders>
              <w:bottom w:val="single" w:sz="18" w:space="0" w:color="000000"/>
            </w:tcBorders>
            <w:shd w:val="clear" w:color="auto" w:fill="auto"/>
            <w:tcMar>
              <w:top w:w="57" w:type="dxa"/>
              <w:left w:w="57" w:type="dxa"/>
              <w:bottom w:w="57" w:type="dxa"/>
              <w:right w:w="57" w:type="dxa"/>
            </w:tcMar>
            <w:vAlign w:val="center"/>
          </w:tcPr>
          <w:p w14:paraId="4D431BB9" w14:textId="77777777" w:rsidR="00014E86" w:rsidRDefault="00014E86" w:rsidP="00321D60">
            <w:pPr>
              <w:pStyle w:val="a7"/>
              <w:spacing w:before="31" w:after="122"/>
              <w:rPr>
                <w:sz w:val="36"/>
                <w:szCs w:val="36"/>
              </w:rPr>
            </w:pPr>
            <w:r>
              <w:rPr>
                <w:sz w:val="36"/>
                <w:szCs w:val="36"/>
              </w:rPr>
              <w:t>引越し２週間前までにすること</w:t>
            </w:r>
          </w:p>
          <w:p w14:paraId="228B5396" w14:textId="77777777" w:rsidR="00014E86" w:rsidRDefault="00014E86" w:rsidP="00321D60">
            <w:pPr>
              <w:pStyle w:val="Standard"/>
              <w:spacing w:before="31" w:after="122"/>
              <w:jc w:val="center"/>
              <w:rPr>
                <w:sz w:val="27"/>
                <w:szCs w:val="27"/>
              </w:rPr>
            </w:pPr>
            <w:r>
              <w:rPr>
                <w:sz w:val="27"/>
                <w:szCs w:val="27"/>
              </w:rPr>
              <w:t>（令和　　年　　月　　日まで）</w:t>
            </w:r>
          </w:p>
        </w:tc>
        <w:tc>
          <w:tcPr>
            <w:tcW w:w="1080" w:type="dxa"/>
            <w:tcBorders>
              <w:bottom w:val="single" w:sz="18" w:space="0" w:color="000000"/>
            </w:tcBorders>
            <w:shd w:val="clear" w:color="auto" w:fill="auto"/>
            <w:tcMar>
              <w:top w:w="57" w:type="dxa"/>
              <w:left w:w="57" w:type="dxa"/>
              <w:bottom w:w="57" w:type="dxa"/>
              <w:right w:w="57" w:type="dxa"/>
            </w:tcMar>
            <w:vAlign w:val="center"/>
          </w:tcPr>
          <w:p w14:paraId="561270FD" w14:textId="77777777" w:rsidR="00014E86" w:rsidRDefault="00014E86" w:rsidP="00321D60">
            <w:pPr>
              <w:pStyle w:val="TableContents"/>
            </w:pPr>
            <w:r>
              <w:t>（　　）</w:t>
            </w:r>
          </w:p>
        </w:tc>
      </w:tr>
      <w:tr w:rsidR="00014E86" w14:paraId="4F76192C" w14:textId="77777777" w:rsidTr="00321D60">
        <w:trPr>
          <w:trHeight w:hRule="exact" w:val="408"/>
        </w:trPr>
        <w:tc>
          <w:tcPr>
            <w:tcW w:w="8565" w:type="dxa"/>
            <w:vMerge/>
            <w:tcBorders>
              <w:bottom w:val="single" w:sz="18" w:space="0" w:color="000000"/>
            </w:tcBorders>
            <w:shd w:val="clear" w:color="auto" w:fill="auto"/>
            <w:tcMar>
              <w:top w:w="57" w:type="dxa"/>
              <w:left w:w="57" w:type="dxa"/>
              <w:bottom w:w="57" w:type="dxa"/>
              <w:right w:w="57" w:type="dxa"/>
            </w:tcMar>
            <w:vAlign w:val="center"/>
          </w:tcPr>
          <w:p w14:paraId="4ADB0EB3" w14:textId="77777777" w:rsidR="00014E86" w:rsidRPr="004A3DD8" w:rsidRDefault="00014E86" w:rsidP="00321D60">
            <w:pPr>
              <w:rPr>
                <w:rFonts w:asciiTheme="minorEastAsia" w:hAnsiTheme="minorEastAsia"/>
                <w:sz w:val="21"/>
                <w:szCs w:val="21"/>
              </w:rPr>
            </w:pPr>
          </w:p>
        </w:tc>
        <w:tc>
          <w:tcPr>
            <w:tcW w:w="1080" w:type="dxa"/>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50CFD047" w14:textId="77777777" w:rsidR="00014E86" w:rsidRPr="004A3DD8" w:rsidRDefault="00014E86" w:rsidP="00321D60">
            <w:pPr>
              <w:pStyle w:val="TableContents"/>
              <w:jc w:val="center"/>
              <w:rPr>
                <w:rFonts w:asciiTheme="minorEastAsia" w:hAnsiTheme="minorEastAsia"/>
                <w:sz w:val="21"/>
                <w:szCs w:val="21"/>
              </w:rPr>
            </w:pPr>
            <w:r w:rsidRPr="004A3DD8">
              <w:rPr>
                <w:rFonts w:asciiTheme="minorEastAsia" w:hAnsiTheme="minorEastAsia"/>
                <w:sz w:val="21"/>
                <w:szCs w:val="21"/>
              </w:rPr>
              <w:t>チェック</w:t>
            </w:r>
          </w:p>
        </w:tc>
      </w:tr>
      <w:tr w:rsidR="00014E86" w14:paraId="6E904EFD" w14:textId="77777777" w:rsidTr="00321D6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00B07D9D"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5. 引越会社の最終手配を終える</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0DCF8E3C" w14:textId="77777777" w:rsidR="00014E86" w:rsidRPr="004A3DD8" w:rsidRDefault="00014E86" w:rsidP="00321D60">
            <w:pPr>
              <w:pStyle w:val="TableContents"/>
              <w:rPr>
                <w:rFonts w:asciiTheme="minorEastAsia" w:hAnsiTheme="minorEastAsia"/>
                <w:sz w:val="21"/>
                <w:szCs w:val="21"/>
              </w:rPr>
            </w:pPr>
          </w:p>
        </w:tc>
      </w:tr>
      <w:tr w:rsidR="00014E86" w14:paraId="150307D6" w14:textId="77777777" w:rsidTr="00321D60">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31333849"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引越しシーズンになると引越会社の予約もいっぱいで、選んでいる余裕がなくなるので、できるだけ早く決定しておきたいものです。</w:t>
            </w:r>
          </w:p>
        </w:tc>
      </w:tr>
      <w:tr w:rsidR="00014E86" w14:paraId="4461DF9E" w14:textId="77777777" w:rsidTr="00321D6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305062E0"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6. レンタカーの手配</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16EE05D1" w14:textId="77777777" w:rsidR="00014E86" w:rsidRPr="004A3DD8" w:rsidRDefault="00014E86" w:rsidP="00321D60">
            <w:pPr>
              <w:pStyle w:val="TableContents"/>
              <w:rPr>
                <w:rFonts w:asciiTheme="minorEastAsia" w:hAnsiTheme="minorEastAsia"/>
                <w:sz w:val="21"/>
                <w:szCs w:val="21"/>
              </w:rPr>
            </w:pPr>
          </w:p>
        </w:tc>
      </w:tr>
      <w:tr w:rsidR="00014E86" w14:paraId="3C266C8D" w14:textId="77777777" w:rsidTr="00321D60">
        <w:trPr>
          <w:trHeight w:val="1396"/>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79CC8F2E"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自力で引越しを済ませる場合や新居への交通手段がないために移動に自動車を使いたい場合は、レンタカーの手配をします。</w:t>
            </w:r>
          </w:p>
          <w:p w14:paraId="379DCF4C"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ただし、３月の繁忙期や夏休み期間中は借りたいクルマが予約でいっぱいということもありますから、できれば引越しの日取りが決まった時点で予約を完了させておいた方がよいでしょう。荷室の大きいバンやワゴン、引越しに最適なサイズのトラックは、意外に早く予約で埋まってしまいます。</w:t>
            </w:r>
          </w:p>
        </w:tc>
      </w:tr>
      <w:tr w:rsidR="00014E86" w14:paraId="720FFB4D" w14:textId="77777777" w:rsidTr="00321D6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291F442D"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7. 引越当日に手伝ってもらう人に連絡する</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2F873BDB" w14:textId="77777777" w:rsidR="00014E86" w:rsidRPr="004A3DD8" w:rsidRDefault="00014E86" w:rsidP="00321D60">
            <w:pPr>
              <w:pStyle w:val="TableContents"/>
              <w:rPr>
                <w:rFonts w:asciiTheme="minorEastAsia" w:hAnsiTheme="minorEastAsia"/>
                <w:sz w:val="21"/>
                <w:szCs w:val="21"/>
              </w:rPr>
            </w:pPr>
          </w:p>
        </w:tc>
      </w:tr>
      <w:tr w:rsidR="00014E86" w14:paraId="33EAEC69" w14:textId="77777777" w:rsidTr="00321D60">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6A28A265"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口約束だけで人手をアテにしていると、当日になって「あれ？明日だっけ？」ということにもなりかねません。</w:t>
            </w:r>
          </w:p>
        </w:tc>
      </w:tr>
      <w:tr w:rsidR="00014E86" w14:paraId="46812777" w14:textId="77777777" w:rsidTr="00321D6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567C4B50"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8. 転居通知の手配をする</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79622DBA" w14:textId="77777777" w:rsidR="00014E86" w:rsidRPr="004A3DD8" w:rsidRDefault="00014E86" w:rsidP="00321D60">
            <w:pPr>
              <w:pStyle w:val="Standard"/>
              <w:rPr>
                <w:rFonts w:asciiTheme="minorEastAsia" w:hAnsiTheme="minorEastAsia"/>
                <w:sz w:val="21"/>
                <w:szCs w:val="21"/>
              </w:rPr>
            </w:pPr>
          </w:p>
        </w:tc>
      </w:tr>
      <w:tr w:rsidR="00014E86" w14:paraId="5064C197" w14:textId="77777777" w:rsidTr="00321D60">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63D3D379"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新居の電話番号が事前にわかれば、引越し先と日時が確定した段階で転居通知用のはがきなどを準備しましょう。印刷を依頼する場合のみならず、パソコンやプリンターを使って自作する場合でも、できれば引越し前に準備したいものです。</w:t>
            </w:r>
          </w:p>
        </w:tc>
      </w:tr>
      <w:tr w:rsidR="00014E86" w14:paraId="10FC8CED" w14:textId="77777777" w:rsidTr="00321D60">
        <w:trPr>
          <w:trHeight w:hRule="exact" w:val="408"/>
        </w:trPr>
        <w:tc>
          <w:tcPr>
            <w:tcW w:w="8565" w:type="dxa"/>
            <w:tcBorders>
              <w:left w:val="single" w:sz="18" w:space="0" w:color="000000"/>
              <w:bottom w:val="single" w:sz="18" w:space="0" w:color="000000"/>
            </w:tcBorders>
            <w:shd w:val="clear" w:color="auto" w:fill="DDDDDD"/>
            <w:tcMar>
              <w:top w:w="57" w:type="dxa"/>
              <w:left w:w="57" w:type="dxa"/>
              <w:bottom w:w="57" w:type="dxa"/>
              <w:right w:w="57" w:type="dxa"/>
            </w:tcMar>
            <w:vAlign w:val="center"/>
          </w:tcPr>
          <w:p w14:paraId="4463A8A1"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9. 電話の移転</w:t>
            </w:r>
          </w:p>
        </w:tc>
        <w:tc>
          <w:tcPr>
            <w:tcW w:w="1080" w:type="dxa"/>
            <w:tcBorders>
              <w:left w:val="single" w:sz="18" w:space="0" w:color="000000"/>
              <w:bottom w:val="single" w:sz="18" w:space="0" w:color="000000"/>
              <w:right w:val="single" w:sz="18" w:space="0" w:color="000000"/>
            </w:tcBorders>
            <w:shd w:val="clear" w:color="auto" w:fill="EEEEEE"/>
            <w:tcMar>
              <w:top w:w="57" w:type="dxa"/>
              <w:left w:w="57" w:type="dxa"/>
              <w:bottom w:w="57" w:type="dxa"/>
              <w:right w:w="57" w:type="dxa"/>
            </w:tcMar>
            <w:vAlign w:val="center"/>
          </w:tcPr>
          <w:p w14:paraId="3E48FC1C" w14:textId="77777777" w:rsidR="00014E86" w:rsidRPr="004A3DD8" w:rsidRDefault="00014E86" w:rsidP="00321D60">
            <w:pPr>
              <w:pStyle w:val="Standard"/>
              <w:rPr>
                <w:rFonts w:asciiTheme="minorEastAsia" w:hAnsiTheme="minorEastAsia"/>
                <w:sz w:val="21"/>
                <w:szCs w:val="21"/>
              </w:rPr>
            </w:pPr>
          </w:p>
        </w:tc>
      </w:tr>
      <w:tr w:rsidR="00014E86" w14:paraId="60E9E669" w14:textId="77777777" w:rsidTr="00321D60">
        <w:trPr>
          <w:trHeight w:val="408"/>
        </w:trPr>
        <w:tc>
          <w:tcPr>
            <w:tcW w:w="9645" w:type="dxa"/>
            <w:gridSpan w:val="2"/>
            <w:tcBorders>
              <w:left w:val="single" w:sz="18" w:space="0" w:color="000000"/>
              <w:bottom w:val="single" w:sz="18" w:space="0" w:color="000000"/>
              <w:right w:val="single" w:sz="18" w:space="0" w:color="000000"/>
            </w:tcBorders>
            <w:shd w:val="clear" w:color="auto" w:fill="auto"/>
            <w:tcMar>
              <w:top w:w="57" w:type="dxa"/>
              <w:left w:w="57" w:type="dxa"/>
              <w:bottom w:w="57" w:type="dxa"/>
              <w:right w:w="57" w:type="dxa"/>
            </w:tcMar>
            <w:vAlign w:val="center"/>
          </w:tcPr>
          <w:p w14:paraId="43B70FE7" w14:textId="77777777" w:rsidR="00014E86" w:rsidRPr="004A3DD8" w:rsidRDefault="00014E86" w:rsidP="00321D60">
            <w:pPr>
              <w:pStyle w:val="Standard"/>
              <w:rPr>
                <w:rFonts w:asciiTheme="minorEastAsia" w:hAnsiTheme="minorEastAsia"/>
                <w:sz w:val="21"/>
                <w:szCs w:val="21"/>
              </w:rPr>
            </w:pPr>
            <w:r w:rsidRPr="004A3DD8">
              <w:rPr>
                <w:rFonts w:asciiTheme="minorEastAsia" w:hAnsiTheme="minorEastAsia"/>
                <w:sz w:val="21"/>
                <w:szCs w:val="21"/>
              </w:rPr>
              <w:t xml:space="preserve">　局番なしの「116」または最寄りの NTT 支店に連絡します。新旧の住所、引越の日時と移転の希望日を告げるだけですが、移転は予約制になるので、できるだけ早い段階で連絡した方がよいでしょう。</w:t>
            </w:r>
          </w:p>
        </w:tc>
      </w:tr>
    </w:tbl>
    <w:p w14:paraId="4A7EABB5" w14:textId="6C22EBF4" w:rsidR="00532F6E" w:rsidRPr="00014E86" w:rsidRDefault="00532F6E" w:rsidP="00014E86"/>
    <w:sectPr w:rsidR="00532F6E" w:rsidRPr="00014E8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74AF8" w14:textId="77777777" w:rsidR="00D2782A" w:rsidRDefault="00D2782A" w:rsidP="009D1716">
      <w:r>
        <w:separator/>
      </w:r>
    </w:p>
  </w:endnote>
  <w:endnote w:type="continuationSeparator" w:id="0">
    <w:p w14:paraId="7561F5A3" w14:textId="77777777" w:rsidR="00D2782A" w:rsidRDefault="00D2782A"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B1B2E" w14:textId="77777777" w:rsidR="00D2782A" w:rsidRDefault="00D2782A" w:rsidP="009D1716">
      <w:r>
        <w:separator/>
      </w:r>
    </w:p>
  </w:footnote>
  <w:footnote w:type="continuationSeparator" w:id="0">
    <w:p w14:paraId="5876BE00" w14:textId="77777777" w:rsidR="00D2782A" w:rsidRDefault="00D2782A"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5pt;height:10.5pt" o:bullet="t">
        <v:imagedata r:id="rId1" o:title=""/>
      </v:shape>
    </w:pict>
  </w:numPicBullet>
  <w:abstractNum w:abstractNumId="0" w15:restartNumberingAfterBreak="0">
    <w:nsid w:val="3B7C56F2"/>
    <w:multiLevelType w:val="multilevel"/>
    <w:tmpl w:val="8E549EC6"/>
    <w:lvl w:ilvl="0">
      <w:start w:val="1"/>
      <w:numFmt w:val="none"/>
      <w:suff w:val="space"/>
      <w:lvlText w:val="%1"/>
      <w:lvlJc w:val="left"/>
      <w:pPr>
        <w:ind w:left="544" w:hanging="340"/>
      </w:pPr>
    </w:lvl>
    <w:lvl w:ilvl="1">
      <w:numFmt w:val="bullet"/>
      <w:lvlText w:val=""/>
      <w:lvlPicBulletId w:val="0"/>
      <w:lvlJc w:val="left"/>
      <w:pPr>
        <w:ind w:left="754" w:hanging="334"/>
      </w:pPr>
      <w:rPr>
        <w:rFonts w:hAnsi="Symbol" w:hint="default"/>
        <w:sz w:val="24"/>
      </w:rPr>
    </w:lvl>
    <w:lvl w:ilvl="2">
      <w:start w:val="1"/>
      <w:numFmt w:val="none"/>
      <w:suff w:val="space"/>
      <w:lvlText w:val="%3"/>
      <w:lvlJc w:val="left"/>
      <w:pPr>
        <w:ind w:left="1259" w:hanging="516"/>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4E86"/>
    <w:rsid w:val="0002487F"/>
    <w:rsid w:val="00084479"/>
    <w:rsid w:val="000949B6"/>
    <w:rsid w:val="000D3959"/>
    <w:rsid w:val="00156412"/>
    <w:rsid w:val="00163535"/>
    <w:rsid w:val="001B1663"/>
    <w:rsid w:val="00261DBF"/>
    <w:rsid w:val="003611D7"/>
    <w:rsid w:val="003838EE"/>
    <w:rsid w:val="003A351C"/>
    <w:rsid w:val="00447226"/>
    <w:rsid w:val="004A3DD8"/>
    <w:rsid w:val="004B5E5D"/>
    <w:rsid w:val="00517DAD"/>
    <w:rsid w:val="00532F6E"/>
    <w:rsid w:val="006C2692"/>
    <w:rsid w:val="00702194"/>
    <w:rsid w:val="0077085B"/>
    <w:rsid w:val="007D0FE9"/>
    <w:rsid w:val="007F0EEE"/>
    <w:rsid w:val="0080512E"/>
    <w:rsid w:val="0082408E"/>
    <w:rsid w:val="00866BD0"/>
    <w:rsid w:val="00867A64"/>
    <w:rsid w:val="008D5DBB"/>
    <w:rsid w:val="008E74D6"/>
    <w:rsid w:val="00933743"/>
    <w:rsid w:val="009D1716"/>
    <w:rsid w:val="00A35551"/>
    <w:rsid w:val="00A923F3"/>
    <w:rsid w:val="00B605A0"/>
    <w:rsid w:val="00B76C93"/>
    <w:rsid w:val="00BA71A8"/>
    <w:rsid w:val="00BE739B"/>
    <w:rsid w:val="00C327B7"/>
    <w:rsid w:val="00C85C00"/>
    <w:rsid w:val="00CB78D0"/>
    <w:rsid w:val="00D22F4F"/>
    <w:rsid w:val="00D2782A"/>
    <w:rsid w:val="00E124C1"/>
    <w:rsid w:val="00E73F09"/>
    <w:rsid w:val="00E769D9"/>
    <w:rsid w:val="00E93163"/>
    <w:rsid w:val="00EC15CC"/>
    <w:rsid w:val="00EC3A75"/>
    <w:rsid w:val="00EF64C6"/>
    <w:rsid w:val="00F462B4"/>
    <w:rsid w:val="00F8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4B9A79"/>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1212</Words>
  <Characters>1213</Characters>
  <Application>Microsoft Office Word</Application>
  <DocSecurity>0</DocSecurity>
  <Lines>50</Lines>
  <Paragraphs>49</Paragraphs>
  <ScaleCrop>false</ScaleCrop>
  <HeadingPairs>
    <vt:vector size="2" baseType="variant">
      <vt:variant>
        <vt:lpstr>タイトル</vt:lpstr>
      </vt:variant>
      <vt:variant>
        <vt:i4>1</vt:i4>
      </vt:variant>
    </vt:vector>
  </HeadingPairs>
  <TitlesOfParts>
    <vt:vector size="1" baseType="lpstr">
      <vt:lpstr>引越しすることになったら</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引越し２週間前までにすること</dc:title>
  <dc:subject>家庭</dc:subject>
  <dc:creator>ホウフリンク</dc:creator>
  <cp:keywords/>
  <dc:description>【2020/05/26】
リリース</dc:description>
  <cp:lastModifiedBy>ホウフ リンク</cp:lastModifiedBy>
  <cp:revision>2</cp:revision>
  <dcterms:created xsi:type="dcterms:W3CDTF">2020-05-25T22:16:00Z</dcterms:created>
  <dcterms:modified xsi:type="dcterms:W3CDTF">2020-05-25T22:16:00Z</dcterms:modified>
</cp:coreProperties>
</file>